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Kapoor Sanjay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804 CARNEGIE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NRG ENERGY, INC.</w:t>
              </w:r>
            </w:hyperlink>
            <w:r>
              <w:rPr/>
              <w:t xml:space="preserve"> [ </w:t>
            </w:r>
            <w:r>
              <w:rPr>
                <w:rFonts w:ascii="Times;serif" w:hAnsi="Times;serif"/>
                <w:color w:val="0000FF"/>
                <w:sz w:val="24"/>
                <w:shd w:fill="FFFFFF" w:val="clear"/>
              </w:rPr>
              <w:t>NRG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rFonts w:ascii="Times;serif" w:hAnsi="Times;serif"/>
                <w:color w:val="008000"/>
                <w:position w:val="7"/>
                <w:sz w:val="16"/>
                <w:sz w:val="20"/>
                <w:shd w:fill="FFFFFF" w:val="clear"/>
              </w:rPr>
              <w:t>(1)</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3,934</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deferred stock units and/or restricted stock units, which become exercisable proportionately with the underlying units to which they relate and may only be settled in NRG common stock. Each dividend equivalent right is the economic equivalent of one share of NRG common stock. Includes 17 dividend equivalent rights.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Christine Zoino,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7851" TargetMode="External"/><Relationship Id="rId5" Type="http://schemas.openxmlformats.org/officeDocument/2006/relationships/hyperlink" Target="http://www.sec.gov/cgi-bin/browse-edgar?action=getcompany&amp;CIK=00010138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3397</Characters>
  <CharactersWithSpaces>3954</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