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3.xml.htm"/>
      <w:bookmarkStart w:id="1" w:name="ksdoc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Golin Caroline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CARNEGIE CENTER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NRG ENERGY, INC.</w:t>
              </w:r>
            </w:hyperlink>
            <w:r>
              <w:rPr/>
              <w:t xml:space="preserve"> [ </w:t>
            </w:r>
            <w:r>
              <w:rPr>
                <w:rFonts w:ascii="Times;serif" w:hAnsi="Times;serif"/>
                <w:color w:val="0000FF"/>
                <w:sz w:val="24"/>
                <w:shd w:fill="FFFFFF" w:val="clear"/>
              </w:rPr>
              <w:t>NRG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Chf Growth &amp; Policy Offc</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6,942</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4"/>
        <w:gridCol w:w="1222"/>
        <w:gridCol w:w="1124"/>
        <w:gridCol w:w="1288"/>
        <w:gridCol w:w="926"/>
        <w:gridCol w:w="1255"/>
        <w:gridCol w:w="1214"/>
        <w:gridCol w:w="1342"/>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1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Relative Performance Stock Units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06/15/2029</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06/15/2029</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1,433</w:t>
            </w:r>
            <w:r>
              <w:rPr>
                <w:rFonts w:ascii="Times;serif" w:hAnsi="Times;serif"/>
                <w:color w:val="008000"/>
                <w:position w:val="7"/>
                <w:sz w:val="16"/>
                <w:sz w:val="20"/>
                <w:shd w:fill="FFFFFF" w:val="clear"/>
              </w:rPr>
              <w:t>(2)</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0.0000</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6,942 Restricted Stock Units (RSUs) issued by NRG Energy, Inc. under NRG Energy, Inc.'s Long Term Incentive Plan. Each RSU is equivalent in value to one share of NRG's Common Stock, par value $.01. Includes 21 Dividend Equivalent Rights (DERs). Each DER is the economic equivalent to one share of NRG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June 15, 2026, the Reporting Person was issued 1,433 RPSUs by NRG under the LTIP that vest on June 15, 2029, subject to certain performance conditions.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Christine Zoino,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783" TargetMode="External"/><Relationship Id="rId3" Type="http://schemas.openxmlformats.org/officeDocument/2006/relationships/hyperlink" Target="http://www.sec.gov/cgi-bin/browse-edgar?action=getcompany&amp;CIK=000101387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496</Words>
  <Characters>2686</Characters>
  <CharactersWithSpaces>3127</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