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3.xml.htm"/>
      <w:bookmarkStart w:id="1" w:name="ksdoc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Hart Scott Barton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804 CARNEGIE CENTER</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08/06/2026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NRG ENERGY, INC.</w:t>
              </w:r>
            </w:hyperlink>
            <w:r>
              <w:rPr/>
              <w:t xml:space="preserve"> [ </w:t>
            </w:r>
            <w:r>
              <w:rPr>
                <w:rFonts w:ascii="Times;serif" w:hAnsi="Times;serif"/>
                <w:color w:val="0000FF"/>
                <w:sz w:val="24"/>
                <w:shd w:fill="FFFFFF" w:val="clear"/>
              </w:rPr>
              <w:t>NRG</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President of NRG Business</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$.01 per share</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20,224</w:t>
            </w:r>
            <w:r>
              <w:rPr>
                <w:rFonts w:ascii="Times;serif" w:hAnsi="Times;serif"/>
                <w:color w:val="008000"/>
                <w:position w:val="7"/>
                <w:sz w:val="16"/>
                <w:sz w:val="20"/>
                <w:shd w:fill="FFFFFF" w:val="clear"/>
              </w:rPr>
              <w:t>(1)</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$.01 per share</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1,982</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5000" w:type="pct"/>
        <w:jc w:val="left"/>
        <w:tblInd w:w="-7" w:type="dxa"/>
        <w:tblLayout w:type="fixed"/>
        <w:tblCellMar>
          <w:top w:w="60" w:type="dxa"/>
          <w:left w:w="60" w:type="dxa"/>
          <w:bottom w:w="60" w:type="dxa"/>
          <w:right w:w="60" w:type="dxa"/>
        </w:tblCellMar>
      </w:tblPr>
      <w:tblGrid>
        <w:gridCol w:w="1834"/>
        <w:gridCol w:w="1222"/>
        <w:gridCol w:w="1124"/>
        <w:gridCol w:w="1288"/>
        <w:gridCol w:w="926"/>
        <w:gridCol w:w="1255"/>
        <w:gridCol w:w="1214"/>
        <w:gridCol w:w="1342"/>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1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8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4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Relative Performance Stock Units</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01/02/2027</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01/02/2027</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 par value $.01 per share</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6,051</w:t>
            </w:r>
            <w:r>
              <w:rPr>
                <w:rFonts w:ascii="Times;serif" w:hAnsi="Times;serif"/>
                <w:color w:val="008000"/>
                <w:position w:val="7"/>
                <w:sz w:val="16"/>
                <w:sz w:val="20"/>
                <w:shd w:fill="FFFFFF" w:val="clear"/>
              </w:rPr>
              <w:t>(2)</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0.0000</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Relative Performance Stock Units</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01/02/2028</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01/02/2028</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 par value $.01 per share</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3,462</w:t>
            </w:r>
            <w:r>
              <w:rPr>
                <w:rFonts w:ascii="Times;serif" w:hAnsi="Times;serif"/>
                <w:color w:val="008000"/>
                <w:position w:val="7"/>
                <w:sz w:val="16"/>
                <w:sz w:val="20"/>
                <w:shd w:fill="FFFFFF" w:val="clear"/>
              </w:rPr>
              <w:t>(3)</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0.0000</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Relative Performance Stock Units</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01/02/2029</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01/02/2029</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 par value $.01 per share</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2,310</w:t>
            </w:r>
            <w:r>
              <w:rPr>
                <w:rFonts w:ascii="Times;serif" w:hAnsi="Times;serif"/>
                <w:color w:val="008000"/>
                <w:position w:val="7"/>
                <w:sz w:val="16"/>
                <w:sz w:val="20"/>
                <w:shd w:fill="FFFFFF" w:val="clear"/>
              </w:rPr>
              <w:t>(4)</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0.0000</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Relative Performance Stock Units</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06/15/2029</w:t>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06/15/2029</w:t>
            </w:r>
          </w:p>
        </w:tc>
        <w:tc>
          <w:tcPr>
            <w:tcW w:w="12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 par value $.01 per share</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4,141</w:t>
            </w:r>
            <w:r>
              <w:rPr>
                <w:rFonts w:ascii="Times;serif" w:hAnsi="Times;serif"/>
                <w:color w:val="008000"/>
                <w:position w:val="7"/>
                <w:sz w:val="16"/>
                <w:sz w:val="20"/>
                <w:shd w:fill="FFFFFF" w:val="clear"/>
              </w:rPr>
              <w:t>(5)</w:t>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0.0000</w:t>
            </w:r>
          </w:p>
        </w:tc>
        <w:tc>
          <w:tcPr>
            <w:tcW w:w="12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3,988 Restricted Stock Units (RSUs) issued by NRG Energy, Inc. under NRG Energy, Inc.'s Long Term Incentive Plan. Each RSU is equivalent in value to one share of NRG's Common Stock, par value $.01. Includes 92 Dividend Equivalent Rights (DERs). Each DER is the economic equivalent to one share of NRG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January 2, 2024, the Reporting Person was issued 6,051 RPSUs by NRG under the LTIP that vest on January 2, 2027, subject to certain performance conditions.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January 2, 2025, the Reporting Person was issued 3,462 RPSUs by NRG under the LTIP that vest on January 2, 2028, subject to certain performance conditions.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January 2, 2026, the Reporting Person was issued 2,310 RPSUs by NRG under the LTIP that vest on January 2, 2029, subject to certain performance conditions.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June 15, 2026, the Reporting Person was issued 4,141 RPSUs by NRG under the LTIP that vest on June 15, 2029, subject to certain performance conditions.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Christine Zoino,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9050" TargetMode="External"/><Relationship Id="rId3" Type="http://schemas.openxmlformats.org/officeDocument/2006/relationships/hyperlink" Target="http://www.sec.gov/cgi-bin/browse-edgar?action=getcompany&amp;CIK=000101387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639</Words>
  <Characters>3426</Characters>
  <CharactersWithSpaces>3982</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