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3.xml.htm"/>
      <w:bookmarkStart w:id="1" w:name="ksdoc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Pistner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Pres. of NRG Wholesale</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48,359</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34"/>
        <w:gridCol w:w="1222"/>
        <w:gridCol w:w="1124"/>
        <w:gridCol w:w="1288"/>
        <w:gridCol w:w="926"/>
        <w:gridCol w:w="1255"/>
        <w:gridCol w:w="1214"/>
        <w:gridCol w:w="134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1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Relative Performance 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01/02/2027</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01/02/2027</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7,725</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Relative Performance 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01/02/2028</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01/02/2028</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4,421</w:t>
            </w:r>
            <w:r>
              <w:rPr>
                <w:rFonts w:ascii="Times;serif" w:hAnsi="Times;serif"/>
                <w:color w:val="008000"/>
                <w:position w:val="7"/>
                <w:sz w:val="16"/>
                <w:sz w:val="20"/>
                <w:shd w:fill="FFFFFF" w:val="clear"/>
              </w:rPr>
              <w:t>(3)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Relative Performance Stock Units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01/02/2029</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01/02/2029</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2,996</w:t>
            </w:r>
            <w:r>
              <w:rPr>
                <w:rFonts w:ascii="Times;serif" w:hAnsi="Times;serif"/>
                <w:color w:val="008000"/>
                <w:position w:val="7"/>
                <w:sz w:val="16"/>
                <w:sz w:val="20"/>
                <w:shd w:fill="FFFFFF" w:val="clear"/>
              </w:rPr>
              <w:t>(4)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Relative Performance Stock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06/15/2029</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06/15/2029</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3,952</w:t>
            </w:r>
            <w:r>
              <w:rPr>
                <w:rFonts w:ascii="Times;serif" w:hAnsi="Times;serif"/>
                <w:color w:val="008000"/>
                <w:position w:val="7"/>
                <w:sz w:val="16"/>
                <w:sz w:val="20"/>
                <w:shd w:fill="FFFFFF" w:val="clear"/>
              </w:rPr>
              <w:t>(5)</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0.0000</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5,115 Restricted Stock Units (RSUs) issued by NRG Energy, Inc. under NRG Energy, Inc.'s Long Term Incentive Plan. Each RSU is equivalent in value to one share of NRG's Common Stock, par value $.01. Includes 118 Dividend Equivalent Rights (DERs). Each DER is the economic equivalent to one share of NRG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2, 2024, the Reporting Person was issued 7,725 RPSUs by NRG under the LTIP that vest on January 2, 2027, subject to certain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January 2, 2025, the Reporting Person was issued 4,421 RPSUs by NRG under the LTIP that vest on January 2, 2028, subject to certain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2, 2026, the Reporting Person was issued 2,996 RPSUs by NRG under the LTIP that vest on January 2, 2029, subject to certain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June 15, 2026, the Reporting Person was issued 3,952 RPSUs by NRG under the LTIP that vest on June 15, 2029, subject to certain performance conditions.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081" TargetMode="External"/><Relationship Id="rId3" Type="http://schemas.openxmlformats.org/officeDocument/2006/relationships/hyperlink" Target="http://www.sec.gov/cgi-bin/browse-edgar?action=getcompany&amp;CIK=000101387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3378</Characters>
  <CharactersWithSpaces>3926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