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Carrillo Antonio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804 CARNEGIE CENTER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PRINCETON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08540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NRG ENERGY, INC.</w:t>
              </w:r>
            </w:hyperlink>
            <w:r>
              <w:rPr/>
              <w:t xml:space="preserve"> [ </w:t>
            </w:r>
            <w:r>
              <w:rPr>
                <w:rFonts w:ascii="Times;serif" w:hAnsi="Times;serif"/>
                <w:color w:val="0000FF"/>
                <w:sz w:val="24"/>
                <w:shd w:fill="FFFFFF" w:val="clear"/>
              </w:rPr>
              <w:t>NRG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02"/>
        <w:gridCol w:w="453"/>
        <w:gridCol w:w="884"/>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$.01 per share</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0.0000</w:t>
            </w:r>
            <w:r>
              <w:rPr>
                <w:rFonts w:ascii="Times;serif" w:hAnsi="Times;serif"/>
                <w:color w:val="008000"/>
                <w:position w:val="7"/>
                <w:sz w:val="16"/>
                <w:sz w:val="20"/>
                <w:shd w:fill="FFFFFF" w:val="clear"/>
              </w:rPr>
              <w:t>(1)</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45,392</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dividend equivalent rights accrued on the Reporting Person's deferred stock units and/or restricted stock units, which become exercisable proportionately with the underlying units to which they relate and may only be settled in NRG common stock. Each dividend equivalent right is the economic equivalent of one share of NRG common stock. Includes 1,627 dividend equivalent rights.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Christine Zoino,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86776" TargetMode="External"/><Relationship Id="rId5" Type="http://schemas.openxmlformats.org/officeDocument/2006/relationships/hyperlink" Target="http://www.sec.gov/cgi-bin/browse-edgar?action=getcompany&amp;CIK=000101387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623</Words>
  <Characters>3404</Characters>
  <CharactersWithSpaces>3961</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